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23" w:rsidRPr="00231DB3" w:rsidRDefault="00D43923" w:rsidP="00D43923">
      <w:pPr>
        <w:rPr>
          <w:lang w:val="uk-UA"/>
        </w:rPr>
      </w:pPr>
    </w:p>
    <w:p w:rsidR="00D43923" w:rsidRDefault="00D43923" w:rsidP="00D43923">
      <w:pPr>
        <w:autoSpaceDE w:val="0"/>
        <w:autoSpaceDN w:val="0"/>
        <w:adjustRightInd w:val="0"/>
        <w:spacing w:after="16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Мигійський коледж</w:t>
      </w:r>
    </w:p>
    <w:p w:rsidR="00D43923" w:rsidRPr="00231DB3" w:rsidRDefault="00D43923" w:rsidP="00231DB3">
      <w:pPr>
        <w:autoSpaceDE w:val="0"/>
        <w:autoSpaceDN w:val="0"/>
        <w:adjustRightInd w:val="0"/>
        <w:spacing w:after="160" w:line="240" w:lineRule="auto"/>
        <w:jc w:val="center"/>
        <w:rPr>
          <w:rFonts w:ascii="Times New Roman CYR" w:hAnsi="Times New Roman CYR" w:cs="Times New Roman CYR"/>
          <w:sz w:val="28"/>
          <w:szCs w:val="28"/>
          <w:lang w:val="uk-UA"/>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Миколаївського національного аграрного університету</w:t>
      </w:r>
    </w:p>
    <w:p w:rsidR="00D43923" w:rsidRPr="00CA2309" w:rsidRDefault="00D43923" w:rsidP="00D43923">
      <w:pPr>
        <w:autoSpaceDE w:val="0"/>
        <w:autoSpaceDN w:val="0"/>
        <w:adjustRightInd w:val="0"/>
        <w:spacing w:after="160"/>
        <w:rPr>
          <w:rFonts w:ascii="Times New Roman CYR" w:hAnsi="Times New Roman CYR" w:cs="Times New Roman CYR"/>
          <w:sz w:val="24"/>
          <w:szCs w:val="24"/>
          <w:highlight w:val="white"/>
        </w:rPr>
      </w:pPr>
      <w:r w:rsidRPr="00CA2309">
        <w:rPr>
          <w:rFonts w:ascii="Times New Roman CYR" w:hAnsi="Times New Roman CYR" w:cs="Times New Roman CYR"/>
          <w:sz w:val="24"/>
          <w:szCs w:val="24"/>
          <w:highlight w:val="white"/>
        </w:rPr>
        <w:t>Відповідно до пункту 14 плану заходів з питань запобігання та виявлення корупції  проведення навчань (лекцій</w:t>
      </w:r>
      <w:proofErr w:type="gramStart"/>
      <w:r w:rsidRPr="00CA2309">
        <w:rPr>
          <w:rFonts w:ascii="Times New Roman CYR" w:hAnsi="Times New Roman CYR" w:cs="Times New Roman CYR"/>
          <w:sz w:val="24"/>
          <w:szCs w:val="24"/>
          <w:highlight w:val="white"/>
        </w:rPr>
        <w:t>,б</w:t>
      </w:r>
      <w:proofErr w:type="gramEnd"/>
      <w:r w:rsidRPr="00CA2309">
        <w:rPr>
          <w:rFonts w:ascii="Times New Roman CYR" w:hAnsi="Times New Roman CYR" w:cs="Times New Roman CYR"/>
          <w:sz w:val="24"/>
          <w:szCs w:val="24"/>
          <w:highlight w:val="white"/>
        </w:rPr>
        <w:t xml:space="preserve">есід ,тощо) з працівниками Мигійського коледжу Миколаївського національного </w:t>
      </w:r>
      <w:r>
        <w:rPr>
          <w:rFonts w:ascii="Times New Roman CYR" w:hAnsi="Times New Roman CYR" w:cs="Times New Roman CYR"/>
          <w:sz w:val="24"/>
          <w:szCs w:val="24"/>
          <w:highlight w:val="white"/>
        </w:rPr>
        <w:t>аграрного університету   на 202</w:t>
      </w:r>
      <w:r>
        <w:rPr>
          <w:rFonts w:ascii="Times New Roman CYR" w:hAnsi="Times New Roman CYR" w:cs="Times New Roman CYR"/>
          <w:sz w:val="24"/>
          <w:szCs w:val="24"/>
          <w:highlight w:val="white"/>
          <w:lang w:val="uk-UA"/>
        </w:rPr>
        <w:t>1</w:t>
      </w:r>
      <w:r w:rsidRPr="00CA2309">
        <w:rPr>
          <w:rFonts w:ascii="Times New Roman CYR" w:hAnsi="Times New Roman CYR" w:cs="Times New Roman CYR"/>
          <w:sz w:val="24"/>
          <w:szCs w:val="24"/>
          <w:highlight w:val="white"/>
        </w:rPr>
        <w:t xml:space="preserve"> рік</w:t>
      </w:r>
    </w:p>
    <w:p w:rsidR="00D43923" w:rsidRPr="00CA2309" w:rsidRDefault="00D43923" w:rsidP="00D43923">
      <w:pPr>
        <w:autoSpaceDE w:val="0"/>
        <w:autoSpaceDN w:val="0"/>
        <w:adjustRightInd w:val="0"/>
        <w:spacing w:before="28" w:after="28"/>
        <w:ind w:firstLine="450"/>
        <w:jc w:val="center"/>
        <w:rPr>
          <w:rFonts w:ascii="Calibri" w:hAnsi="Calibri" w:cs="Calibri"/>
          <w:sz w:val="24"/>
          <w:szCs w:val="24"/>
          <w:lang w:val="en-US"/>
        </w:rPr>
      </w:pPr>
    </w:p>
    <w:tbl>
      <w:tblPr>
        <w:tblW w:w="0" w:type="auto"/>
        <w:tblInd w:w="108" w:type="dxa"/>
        <w:tblLayout w:type="fixed"/>
        <w:tblLook w:val="0000"/>
      </w:tblPr>
      <w:tblGrid>
        <w:gridCol w:w="4535"/>
        <w:gridCol w:w="5296"/>
      </w:tblGrid>
      <w:tr w:rsidR="00D43923" w:rsidRPr="00CA2309" w:rsidTr="00B57DAA">
        <w:trPr>
          <w:trHeight w:val="1"/>
        </w:trPr>
        <w:tc>
          <w:tcPr>
            <w:tcW w:w="4535"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Book Antiqua" w:hAnsi="Book Antiqua" w:cs="Book Antiqua"/>
                <w:sz w:val="24"/>
                <w:szCs w:val="24"/>
              </w:rPr>
            </w:pPr>
            <w:r w:rsidRPr="00CA2309">
              <w:rPr>
                <w:rFonts w:ascii="Book Antiqua" w:hAnsi="Book Antiqua" w:cs="Book Antiqua"/>
                <w:sz w:val="24"/>
                <w:szCs w:val="24"/>
              </w:rPr>
              <w:t xml:space="preserve">Найменування  </w:t>
            </w:r>
          </w:p>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sz w:val="24"/>
                <w:szCs w:val="24"/>
              </w:rPr>
              <w:t xml:space="preserve">навчального заходу                                                         </w:t>
            </w:r>
          </w:p>
        </w:tc>
        <w:tc>
          <w:tcPr>
            <w:tcW w:w="5296"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Лекція </w:t>
            </w:r>
          </w:p>
        </w:tc>
      </w:tr>
      <w:tr w:rsidR="00D43923" w:rsidRPr="00CA2309" w:rsidTr="00B57DAA">
        <w:trPr>
          <w:trHeight w:val="1"/>
        </w:trPr>
        <w:tc>
          <w:tcPr>
            <w:tcW w:w="4535"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Тема навчального заходу </w:t>
            </w:r>
          </w:p>
        </w:tc>
        <w:tc>
          <w:tcPr>
            <w:tcW w:w="5296"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476D2E" w:rsidRDefault="00D43923" w:rsidP="00B57DAA">
            <w:pPr>
              <w:autoSpaceDE w:val="0"/>
              <w:autoSpaceDN w:val="0"/>
              <w:adjustRightInd w:val="0"/>
              <w:spacing w:before="28" w:after="28" w:line="240" w:lineRule="auto"/>
              <w:rPr>
                <w:rFonts w:ascii="Times New Roman" w:hAnsi="Times New Roman" w:cs="Times New Roman"/>
                <w:sz w:val="24"/>
                <w:szCs w:val="24"/>
                <w:lang w:val="uk-UA"/>
              </w:rPr>
            </w:pPr>
            <w:r w:rsidRPr="00476D2E">
              <w:rPr>
                <w:rFonts w:ascii="Times New Roman" w:hAnsi="Times New Roman" w:cs="Times New Roman"/>
                <w:sz w:val="24"/>
                <w:szCs w:val="24"/>
              </w:rPr>
              <w:t xml:space="preserve">Декларування та </w:t>
            </w:r>
            <w:r w:rsidRPr="00476D2E">
              <w:rPr>
                <w:rFonts w:ascii="Times New Roman" w:hAnsi="Times New Roman" w:cs="Times New Roman"/>
                <w:sz w:val="24"/>
                <w:szCs w:val="24"/>
                <w:lang w:val="uk-UA"/>
              </w:rPr>
              <w:t>інші вимоги фінансового контролю</w:t>
            </w:r>
          </w:p>
        </w:tc>
      </w:tr>
      <w:tr w:rsidR="00D43923" w:rsidRPr="00CA2309" w:rsidTr="00B57DAA">
        <w:trPr>
          <w:trHeight w:val="1"/>
        </w:trPr>
        <w:tc>
          <w:tcPr>
            <w:tcW w:w="4535"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Дата проведення </w:t>
            </w:r>
          </w:p>
        </w:tc>
        <w:tc>
          <w:tcPr>
            <w:tcW w:w="5296"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476D2E" w:rsidRDefault="00D43923" w:rsidP="00B57DAA">
            <w:pPr>
              <w:autoSpaceDE w:val="0"/>
              <w:autoSpaceDN w:val="0"/>
              <w:adjustRightInd w:val="0"/>
              <w:spacing w:before="28" w:after="28" w:line="240" w:lineRule="auto"/>
              <w:rPr>
                <w:rFonts w:ascii="Calibri" w:hAnsi="Calibri" w:cs="Calibri"/>
                <w:sz w:val="24"/>
                <w:szCs w:val="24"/>
                <w:lang w:val="uk-UA"/>
              </w:rPr>
            </w:pPr>
            <w:r>
              <w:rPr>
                <w:rFonts w:ascii="Book Antiqua" w:hAnsi="Book Antiqua" w:cs="Book Antiqua"/>
                <w:color w:val="000000"/>
                <w:sz w:val="24"/>
                <w:szCs w:val="24"/>
                <w:lang w:val="uk-UA"/>
              </w:rPr>
              <w:t>Лютий –грудень 2021</w:t>
            </w:r>
          </w:p>
        </w:tc>
      </w:tr>
      <w:tr w:rsidR="00D43923" w:rsidRPr="00CA2309" w:rsidTr="00B57DAA">
        <w:trPr>
          <w:trHeight w:val="1"/>
        </w:trPr>
        <w:tc>
          <w:tcPr>
            <w:tcW w:w="4535"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Мета </w:t>
            </w:r>
          </w:p>
        </w:tc>
        <w:tc>
          <w:tcPr>
            <w:tcW w:w="5296"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sz w:val="24"/>
                <w:szCs w:val="24"/>
              </w:rPr>
              <w:t xml:space="preserve">Формування єдиного </w:t>
            </w:r>
            <w:proofErr w:type="gramStart"/>
            <w:r w:rsidRPr="00CA2309">
              <w:rPr>
                <w:rFonts w:ascii="Book Antiqua" w:hAnsi="Book Antiqua" w:cs="Book Antiqua"/>
                <w:sz w:val="24"/>
                <w:szCs w:val="24"/>
              </w:rPr>
              <w:t>п</w:t>
            </w:r>
            <w:proofErr w:type="gramEnd"/>
            <w:r w:rsidRPr="00CA2309">
              <w:rPr>
                <w:rFonts w:ascii="Book Antiqua" w:hAnsi="Book Antiqua" w:cs="Book Antiqua"/>
                <w:sz w:val="24"/>
                <w:szCs w:val="24"/>
              </w:rPr>
              <w:t xml:space="preserve">ідходу </w:t>
            </w:r>
            <w:r w:rsidRPr="00CA2309">
              <w:rPr>
                <w:rFonts w:ascii="Book Antiqua" w:hAnsi="Book Antiqua" w:cs="Book Antiqua"/>
                <w:sz w:val="24"/>
                <w:szCs w:val="24"/>
              </w:rPr>
              <w:br/>
              <w:t>до розуміння і дотримання правил запобігання та врегулювання конфлікту інтересів та пов’язаних з ним обмежень</w:t>
            </w:r>
          </w:p>
        </w:tc>
      </w:tr>
      <w:tr w:rsidR="00D43923" w:rsidRPr="00CA2309" w:rsidTr="00B57DAA">
        <w:trPr>
          <w:trHeight w:val="1"/>
        </w:trPr>
        <w:tc>
          <w:tcPr>
            <w:tcW w:w="4535"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Категорія учасникі</w:t>
            </w:r>
            <w:proofErr w:type="gramStart"/>
            <w:r w:rsidRPr="00CA2309">
              <w:rPr>
                <w:rFonts w:ascii="Book Antiqua" w:hAnsi="Book Antiqua" w:cs="Book Antiqua"/>
                <w:color w:val="000000"/>
                <w:sz w:val="24"/>
                <w:szCs w:val="24"/>
              </w:rPr>
              <w:t>в</w:t>
            </w:r>
            <w:proofErr w:type="gramEnd"/>
          </w:p>
        </w:tc>
        <w:tc>
          <w:tcPr>
            <w:tcW w:w="5296"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Працівники Мигійського коледжу </w:t>
            </w:r>
            <w:r w:rsidRPr="00CA2309">
              <w:rPr>
                <w:rFonts w:ascii="Book Antiqua" w:hAnsi="Book Antiqua" w:cs="Book Antiqua"/>
                <w:sz w:val="24"/>
                <w:szCs w:val="24"/>
              </w:rPr>
              <w:t>Миколаївського національного аграрного університету.</w:t>
            </w:r>
          </w:p>
        </w:tc>
      </w:tr>
      <w:tr w:rsidR="00D43923" w:rsidRPr="00CA2309" w:rsidTr="00B57DAA">
        <w:trPr>
          <w:trHeight w:val="1022"/>
        </w:trPr>
        <w:tc>
          <w:tcPr>
            <w:tcW w:w="4535"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Література </w:t>
            </w:r>
          </w:p>
        </w:tc>
        <w:tc>
          <w:tcPr>
            <w:tcW w:w="5296" w:type="dxa"/>
            <w:tcBorders>
              <w:top w:val="single" w:sz="2" w:space="0" w:color="000000"/>
              <w:left w:val="single" w:sz="2" w:space="0" w:color="000000"/>
              <w:bottom w:val="single" w:sz="2" w:space="0" w:color="000000"/>
              <w:right w:val="single" w:sz="2" w:space="0" w:color="000000"/>
            </w:tcBorders>
            <w:shd w:val="clear" w:color="000000" w:fill="FFFFFF"/>
          </w:tcPr>
          <w:p w:rsidR="00D43923" w:rsidRPr="00CA2309" w:rsidRDefault="00D43923" w:rsidP="00B57DAA">
            <w:pPr>
              <w:autoSpaceDE w:val="0"/>
              <w:autoSpaceDN w:val="0"/>
              <w:adjustRightInd w:val="0"/>
              <w:spacing w:before="28" w:after="28" w:line="240" w:lineRule="auto"/>
              <w:rPr>
                <w:rFonts w:ascii="Calibri" w:hAnsi="Calibri" w:cs="Calibri"/>
                <w:sz w:val="24"/>
                <w:szCs w:val="24"/>
                <w:lang w:val="en-US"/>
              </w:rPr>
            </w:pPr>
            <w:r w:rsidRPr="00CA2309">
              <w:rPr>
                <w:rFonts w:ascii="Book Antiqua" w:hAnsi="Book Antiqua" w:cs="Book Antiqua"/>
                <w:color w:val="000000"/>
                <w:sz w:val="24"/>
                <w:szCs w:val="24"/>
              </w:rPr>
              <w:t xml:space="preserve">Закон України </w:t>
            </w:r>
            <w:r w:rsidRPr="00CA2309">
              <w:rPr>
                <w:rFonts w:ascii="Book Antiqua" w:hAnsi="Book Antiqua" w:cs="Book Antiqua"/>
                <w:color w:val="000000"/>
                <w:sz w:val="24"/>
                <w:szCs w:val="24"/>
                <w:lang w:val="en-US"/>
              </w:rPr>
              <w:t>«</w:t>
            </w:r>
            <w:r w:rsidRPr="00CA2309">
              <w:rPr>
                <w:rFonts w:ascii="Book Antiqua" w:hAnsi="Book Antiqua" w:cs="Book Antiqua"/>
                <w:color w:val="000000"/>
                <w:sz w:val="24"/>
                <w:szCs w:val="24"/>
              </w:rPr>
              <w:t>Про запобігання корупції</w:t>
            </w:r>
            <w:r w:rsidRPr="00CA2309">
              <w:rPr>
                <w:rFonts w:ascii="Book Antiqua" w:hAnsi="Book Antiqua" w:cs="Book Antiqua"/>
                <w:color w:val="000000"/>
                <w:sz w:val="24"/>
                <w:szCs w:val="24"/>
                <w:lang w:val="en-US"/>
              </w:rPr>
              <w:t xml:space="preserve">»; </w:t>
            </w:r>
            <w:r w:rsidRPr="00CA2309">
              <w:rPr>
                <w:rFonts w:ascii="Book Antiqua" w:hAnsi="Book Antiqua" w:cs="Book Antiqua"/>
                <w:sz w:val="24"/>
                <w:szCs w:val="24"/>
              </w:rPr>
              <w:t>Методичні рекомендації щодо запобігання та врегулювання конфлікту інтересів, затверджені рішенням Національного агентства з питань запобігання корупції 29.09.2017 № 839</w:t>
            </w:r>
            <w:r w:rsidRPr="00CA2309">
              <w:rPr>
                <w:rFonts w:ascii="Book Antiqua" w:hAnsi="Book Antiqua" w:cs="Book Antiqua"/>
                <w:color w:val="000000"/>
                <w:sz w:val="24"/>
                <w:szCs w:val="24"/>
              </w:rPr>
              <w:br/>
            </w:r>
          </w:p>
        </w:tc>
      </w:tr>
    </w:tbl>
    <w:p w:rsidR="00D43923" w:rsidRPr="00CA2309" w:rsidRDefault="00D43923" w:rsidP="00D43923">
      <w:pPr>
        <w:autoSpaceDE w:val="0"/>
        <w:autoSpaceDN w:val="0"/>
        <w:adjustRightInd w:val="0"/>
        <w:spacing w:after="0" w:line="240" w:lineRule="auto"/>
        <w:rPr>
          <w:rFonts w:ascii="Times New Roman" w:hAnsi="Times New Roman" w:cs="Times New Roman"/>
          <w:sz w:val="24"/>
          <w:szCs w:val="24"/>
          <w:lang w:val="en-US"/>
        </w:rPr>
      </w:pPr>
      <w:r w:rsidRPr="00CA2309">
        <w:rPr>
          <w:rFonts w:ascii="Times New Roman" w:hAnsi="Times New Roman" w:cs="Times New Roman"/>
          <w:sz w:val="24"/>
          <w:szCs w:val="24"/>
          <w:lang w:val="en-US"/>
        </w:rPr>
        <w:t xml:space="preserve">                                                         </w:t>
      </w:r>
    </w:p>
    <w:p w:rsidR="00D43923" w:rsidRDefault="00D43923" w:rsidP="005D3D86">
      <w:pPr>
        <w:pStyle w:val="rtecenter"/>
        <w:shd w:val="clear" w:color="auto" w:fill="FFFFFF"/>
        <w:spacing w:before="0" w:beforeAutospacing="0" w:after="0" w:afterAutospacing="0"/>
        <w:jc w:val="center"/>
        <w:textAlignment w:val="baseline"/>
        <w:rPr>
          <w:rStyle w:val="a3"/>
          <w:color w:val="0000CD"/>
          <w:sz w:val="21"/>
          <w:szCs w:val="21"/>
          <w:bdr w:val="none" w:sz="0" w:space="0" w:color="auto" w:frame="1"/>
        </w:rPr>
      </w:pPr>
    </w:p>
    <w:p w:rsidR="005D3D86" w:rsidRDefault="005D3D86" w:rsidP="005D3D86">
      <w:pPr>
        <w:pStyle w:val="rtecenter"/>
        <w:shd w:val="clear" w:color="auto" w:fill="FFFFFF"/>
        <w:spacing w:before="0" w:beforeAutospacing="0" w:after="0" w:afterAutospacing="0"/>
        <w:jc w:val="center"/>
        <w:textAlignment w:val="baseline"/>
        <w:rPr>
          <w:rStyle w:val="a3"/>
          <w:sz w:val="21"/>
          <w:szCs w:val="21"/>
          <w:bdr w:val="none" w:sz="0" w:space="0" w:color="auto" w:frame="1"/>
        </w:rPr>
      </w:pPr>
      <w:r w:rsidRPr="00D43923">
        <w:rPr>
          <w:rStyle w:val="a3"/>
          <w:sz w:val="21"/>
          <w:szCs w:val="21"/>
          <w:bdr w:val="none" w:sz="0" w:space="0" w:color="auto" w:frame="1"/>
        </w:rPr>
        <w:t>ФІНАНСОВИЙ КОНТРОЛЬ</w:t>
      </w:r>
    </w:p>
    <w:p w:rsidR="00D43923" w:rsidRPr="00D43923" w:rsidRDefault="00D43923" w:rsidP="005D3D86">
      <w:pPr>
        <w:pStyle w:val="rtecenter"/>
        <w:shd w:val="clear" w:color="auto" w:fill="FFFFFF"/>
        <w:spacing w:before="0" w:beforeAutospacing="0" w:after="0" w:afterAutospacing="0"/>
        <w:jc w:val="center"/>
        <w:textAlignment w:val="baseline"/>
        <w:rPr>
          <w:rFonts w:ascii="Arial" w:hAnsi="Arial" w:cs="Arial"/>
          <w:sz w:val="20"/>
          <w:szCs w:val="20"/>
        </w:rPr>
      </w:pP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45. Подання декларацій осіб, уповноважених на виконання функцій держави або місцевого самоврядування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Особи, зазначені у пункті 1, підпункті "а" пункту 2 частини першої статті 3 цього Закону, зобов’язані щорічно до 1 квітня подавати шляхом заповнення на офіційному веб-сайті Національного агентства декларацію особи, уповноваженої на виконання функцій держави або місцевого самоврядування (далі - декларація), за минулий рік за формою, що визначається Національним агентством.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Особи, зазначені у пункті 1, підпункті "а" пункту 2 частини першої статті 3 цього Закону, які припиняють діяльність, пов’язану з виконанням функцій держави або місцевого самоврядування, подають декларацію особи, уповноваженої на виконання функцій держави або місцевого самоврядування, за період, не охоплений раніше поданими деклараціями.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Особи, які припинили діяльність, пов’язану з виконанням функцій держави або місцевого самоврядування, зобов’язані наступного року після припинення діяльності подавати в установленому частиною першою цієї статті порядку декларацію особи, уповноваженої на виконання функцій держави або місцевого самоврядування, за минулий рік.</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Особа, яка претендує на зайняття посади, зазначеної у пункті 1, підпункті "а" пункту 2 частини першої статті 3 цього Закону, до призначення або обрання на відповідну посаду подає в установленому цим Законом порядку декларацію особи, уповноваженої на виконання функцій держави або місцевого самоврядування, за минулий рік.</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4. У випадку виявлення суб’єктом декларування помилок у поданій ним декларації Національне агентство за його письмовим зверненням надає можливість їх виправити протягом десяти календарних днів.</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lastRenderedPageBreak/>
        <w:t> Притягнення суб’єкта декларування до відповідальності за неподання, несвоєчасне подання декларації особи, уповноваженої на виконання функцій держави або місцевого самоврядування, або за подання у ній завідомо недостовірних відомостей не звільняє суб’єкта декларування від обов’язку подати відповідну декларацію з достовірними відомостями.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46. Інформація, що зазначається в декларації</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У декларації зазначаються відомості про:</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та повідомила про це відповідний орган центрального органу виконавчої влади, відповідальний за формування державної податкової політики, і має про це відмітку у паспорті громадянина України) суб’єкта декларування та членів його сім’ї, місце реєстрації та фактичного проживання, місце роботи (проходження служби) або місце майбутньої роботи (проходження служби), займану посаду, або посаду, на яку претендує, та категорію посади (якщо така є) суб’єкта декларування;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об’єкти нерухомості, що належать суб’єкту декларування та членам його сім’ї на праві приватної власності, включаючи спільну власність, або знаходяться у них в оренді чи на іншому праві користування, незалежно від форми укладення правочину, внаслідок якого набуте таке право. Такі відомості включають:</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а) дані щодо виду, характеристики майна, місцезнаходження, дату набуття майна у власність, оренду або інше право користування, вартість майна на дату набуття його у власність, володіння або користування;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б) у разі якщо нерухоме майно перебуває у спільній власності, про усіх співвласників такого майна вказуються відомості, зазначені у пункті 1 частини першої цієї статті. У разі якщо нерухоме майно перебуває в оренді або на іншому праві користування, про власника такого майна також вказуються відомості, зазначені у пункті 1 частини першої цієї статті;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цінне рухоме майно, вартість якого перевищує 50 мінімальних заробітних плат, встановлених на 1 січня звітного року, що належить суб’єкту декларування або членам його сім’ї на праві приватної власності, у тому числі спільної власності, або перебуває в її володінні або користуванні незалежно від форми правочину, внаслідок якого набуте таке право. Такі відомості включають:</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а) дані щодо виду майна, характеристики майна, дату набуття його у власність, володіння або користування, вартість майна на дату його набуття у власність, володіння або користування;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б) дані щодо транспортних засобів та інших самохідних машин і механізмів, а також щодо їх марки та моделі, року випуску, ідентифікаційного номера (за наявності). Відомості про транспортні засоби та інші самохідні машини і механізми зазначаються незалежно від їх вартості;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в) у разі якщо рухоме майно перебуває у спільній власності, про усіх співвласників такого майна також вказуються відомості, зазначені у пункті 1 частини першої цієї статті. У разі якщо рухоме майно перебуває у володінні або користуванні, про власників такого майна також вказуються відомості, зазначені у пункті 1 частини першої цієї статті;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4) цінні папери, у тому числі акції, облігації, чеки, сертифікати, векселі, що належать суб’єкту декларування або членам його сім’ї, із відображенням відомостей стосовно виду цінного папера, його емітента, дати набуття цінних паперів у власність, кількості та номінальної вартості цінних паперів. У разі якщо цінні папери передані в управління іншій особі, щодо цієї особи також вказуються відомості, зазначені у пункті 1 частини першої цієї статті;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5) інші корпоративні права, що належать суб’єкту декларування або членам його сім’ї, із зазначенням найменування кожного суб’єкта господарювання, його організаційно-правової форми, коду Єдиного державного реєстру підприємств і організацій України, частки у статутному (складеному) капіталі товариства, підприємства, організації у грошовому та відсотковому вираженні;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6) нематеріальні активи, що належать суб’єкту декларування або членам його сім’ї, у тому числі об’єкти інтелектуальної власності, що можуть бути оцінені в грошовому еквіваленті. До відомостей щодо нематеріальних активів включаються дані про вид та характеристики таких активів, вартість активів на момент виникнення права власності, а також про дату виникнення права на них;</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7) отримані (нараховані) доходи,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Такі відомості включають дані про вид доходу, джерело доходу та його розмір. Відомості щодо подарунків та інших доходів, не визначених у першому абзаці цього пункту, зазначаються лише у разі, якщо розмір такого подарунку або доходу перевищує 50 відсотків мінімальної заробітної плати, встановленої на день прийняття подарунка. До декларації не включаються відомості про подарунки, одержані у випадках, передбачених пунктами 1, 2 частини другої статті 23 цього Закону;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xml:space="preserve"> 8)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Відомості щодо грошових активів </w:t>
      </w:r>
      <w:r w:rsidRPr="00D43923">
        <w:rPr>
          <w:sz w:val="21"/>
          <w:szCs w:val="21"/>
          <w:bdr w:val="none" w:sz="0" w:space="0" w:color="auto" w:frame="1"/>
        </w:rPr>
        <w:lastRenderedPageBreak/>
        <w:t>включають дані про вид, розмір та валюту активу, а також найменування та код Єдиного державного реєстру підприємств і організацій України установи, в якій відкриті відповідні рахунки або до якої зроблені відповідні внески. Не підлягають декларуванню кошти, розміщені на одному банківському рахунку, внесок до кредитних спілок та інших небанківських фінансових установ, а також актив у дорогоцінних (банківських) металах, готівкові кошти, кошти, позичені третім особам, вартість яких не перевищує 50 мінімальних заробітних плат, встановлених на 1 січня звітного року;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9) фінансові зобов’язання, у тому числі отримані кредити, позики, зобов’язання за договорами лізингу, розмір сплачених коштів в рахунок основної суми позики (кредиту) та процентів за позикою (кредиту), зобов’язання за договорами страхування та недержавного пенсійного забезпечення, позичені іншим особам кошти.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відповідно до пункту 1 частини першої цієї статті, та дату виникнення зобов’язання. Такі відомості зазначаються лише у разі, якщо розмір зобов’язання перевищує 50 мінімальних заробітних плат, встановлених на 1 січня звітного року. У разі якщо розмір зобов’язання не перевищує 50 мінімальних заробітних плат, встановлених на 1 січня звітного року, зазначається лише загальний розмір такого фінансового зобов’язання.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У разі якщо предметом правочину щодо забезпечення виконання зобов’язання є нерухоме або рухоме майно, в декларації зазначається вид майна, його місцезнаходження, вартість та інформація про власника майна відповідно до пункту 1 цієї статті. У разі якщо засобом забезпечення отриманого зобов’язання є порука, в декларації має бути вказана інформація про поручителя, зазначена у пункті 1 частини першої цієї статті;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10) видатки та всі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пунктах 2-9 частини першої цієї статті.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Такі відомості зазначаються лише у разі, якщо розмір відповідного видатку перевищує 50 мінімальних заробітних плат, встановлених на 1 січня звітного року. Окрім цього, до таких відомостей включаються дані про вид правочину, його предмет та інформація щодо найменування контрагента;</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11) посаду чи роботу, що виконується або виконувалася за сумісництвом: дані про займану посаду чи роботу (оплачувану чи ні), що виконується за договором (контрактом), найменування юридичної чи фізичної особи, в якій (яких) особа працює або працювала за сумісництвом, із зазначенням коду Єдиного державного реєстру юридичних осіб та фізичних осіб - підприємців, або прізвище, ім’я, по батькові фізичної особи із зазначенням її реєстраційного номера облікової картки платника податків;</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12) входження суб’єкта декларування до керівних, ревізійних чи наглядових органів громадських об’єднань, благодійних організацій, саморегулівних чи самоврядних професійних об’єднань, членство в таких об’єднаннях (організаціях) із зазначенням назви відповідних об’єднань (організацій) та їх коду Єдиного державного реєстру юридичних осіб та фізичних осіб - підприємців.</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Відомості, зазначені у частині першій цієї статті, подаються незалежно від того, знаходиться об’єкт декларування на території України чи за її межами.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Відомості, передбачені пунктом 10 частини першої цієї статті, не зазначаються у деклараціях осіб, які претендують на зайняття посади, зазначеної у пункті 1, підпункті "а" пункту 2 частини першої статті 3 цього Закону.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4. Відображення доходів і видатків суб’єктів декларування здійснюється у грошовій одиниці України.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Вартість майна, майнових прав, активів, інших об’єктів декларування, передбачених частиною першою цієї статті, зазначається у грошовій одиниці України на момент їх набуття у власність або останньої грошової оцінки.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Вартість майна, майнових прав, активів, інших об’єктів декларування, що перебувають у володінні чи користуванні суб’єкта декларування, зазначається у випадку, якщо вона відома суб’єкту декларування або повинна була стати відомою внаслідок вчинення відповідного правочину.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5. Доходи/видатки, одержані/здійснені в іноземній валюті, з метою відображення у декларації перераховуються в грошовій одиниці України за валютним (обмінним) курсом Національного банку України, що діяв на дату одержання доходів/здійснення видатків. Щодо доходів/видатків, одержаних/здійснених за кордоном, зазначається держава, в якій їх було одержано/здійснено.</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6.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відобразивши всю відому йому інформацію про такого члена сім’ї, визначену пунктами 1-12 частини першої цієї статті.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47. Облік та оприлюднення декларацій</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Подані декларації включаються до Єдиного державного реєстру декларацій осіб, уповноважених на виконання функцій держави або місцевого самоврядування, що формується та ведеться Національним агентством.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lastRenderedPageBreak/>
        <w:t> Національне агентство забезпечує відкритий цілодобовий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Доступ до Єдиного державного реєстру декларацій осіб, уповноважених на виконання функцій держави або місцевого самоврядування, на офіційному веб-сайті Національного агентства надається шляхом можливості перегляду, копіювання та роздруковування інформації, а також у вигляді набору даних (електронного документа), організованого у форматі, що дозволяє його автоматизоване оброблення електронними засобами (машинозчитування) з метою повторного використання.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Зазначені у декларації 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місцезнаходження об’єктів, які наводяться в декларації, є інформацією з обмеженим доступом та не підлягають відображенню у відкритому доступі.</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Інформація про особу в Єдиному державному реєстрі декларацій осіб, уповноважених на виконання функцій держави або місцевого самоврядування, зберігається упродовж всього часу виконання цією особою функцій держави або місцевого самоврядування, а також упродовж п’яти років після припинення виконання нею зазначених функцій, крім останньої декларації, поданої особою, яка зберігається безстроково.</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48. Контроль та перевірка декларацій</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Національне агентство проводить щодо декларацій, поданих суб’єктами декларування, такі види контролю:</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щодо своєчасності подання;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щодо правильності та повноти заповнення;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логічний та арифметичний контроль.</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Національне агентство проводить повну перевірку декларацій відповідно до цього Закону.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Порядок проведення передбачених цієї статтею видів контролю, а також повної перевірки декларації визначається Національним агентством.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49. Встановлення своєчасності подання декларацій</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Контроль щодо своєчасності подання декларації здійснюється протягом п’ятнадцяти робочих днів з дня, у який така декларація повинна бути подана.</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2. Державні органи, органи влади Автономної Республіки Крим, органи місцевого самоврядування, а також юридичні особи публічного права зобов’язані упродовж семи робочих днів інформувати Національне агентство про припинення працюючими у них суб’єктами декларування діяльності, пов’язаної з виконанням функцій держави або місцевого самоврядування.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Якщо за результатами контролю встановлено, що суб’єкт декларування не подав декларацію, Національне агентство письмово повідомляє такого суб’єкта про факт неподання декларації, і суб’єкт декларування повинен протягом десяти днів з дня отримання такого повідомлення подати декларацію в порядку, визначеному частиною першою статті 45 цього Закону.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Одночасно Національне агентство письмово повідомляє про факт неподання декларації керівнику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уповноваженим суб’єктам у сфері протидії корупції.</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50. Повна перевірка декларацій</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Повна перевірка декларації здійснюється протягом дев’яноста днів з дня подання декларації і полягає у з’ясуванні достовірності задекларованих відомостей, точності оцінки задекларованих активів, перевірці на наявність конфлікту інтересів та ознак незаконного збагачення.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Обов’язковій повній перевірці підлягають декларації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перелік яких затверджується Національним агентством.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Обов’язковій повній перевірці також підлягають декларації, подані іншими суб’єктами декларування, у разі виявлення у них невідповідностей за результатами логічного та арифметичного контролю.</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Національне агентство проводить повну перевірку декларації, а також самостійно проводить повну перевірку інформації, яка підлягає відображенню в декларації, щодо членів сім’ї суб’єкта декларування у випадках, передбачених частиною шостою статті 46 цього Закону.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У разі встановлення за результатами повної перевірки декларації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та спеціально уповноважені суб’єкти у сфері протидії корупції.</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xml:space="preserve"> Примітка. Під службовими особами, які займають відповідальне та особливо відповідальне становище, в цій статті розуміються особи, посади яких передбачені частиною першою статті 9 Закону України "Про державну службу", або віднесені згідно із статтею 25 зазначеного Закону та частиною першою статті 14 Закону України "Про службу в органах місцевого самоврядування" до першої - третьої </w:t>
      </w:r>
      <w:r w:rsidRPr="00D43923">
        <w:rPr>
          <w:sz w:val="21"/>
          <w:szCs w:val="21"/>
          <w:bdr w:val="none" w:sz="0" w:space="0" w:color="auto" w:frame="1"/>
        </w:rPr>
        <w:lastRenderedPageBreak/>
        <w:t>категорій, а також судді, прокурори і слідчі, керівники, заступники керівників державних органів, юрисдикція яких поширюється на всю територію України, їх апаратів та самостійних структурних підрозділів, керівники, заступники керівників державних органів, органів влади Автономної Республіки Крим, юрисдикція яких поширюється на територію однієї або кількох областей, Автономної Республіки Крим, міст Києва або Севастополя, керівників державних органів, органів влади Автономної Республіки Крим, юрисдикція яких поширюється на територію одного або кількох районів, міста республіканського в Автономній Республіці Крим або обласного значення, району в місті, міста районного значення, військові посадові особи вищого офіцерського складу.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51. Моніторинг способу життя суб’єктів декларування</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Національне агентство здійснює вибірковий моніторинг способу життя суб’єктів декларування з метою встановлення відповідності їх рівня життя наявним у них та членів їх сім’ї майну і одержаним ними доходам згідно з декларацією особи, уповноваженої на виконання функцій держави або місцевого самоврядування, що подається відповідно до цього Закону.</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Моніторинг способу життя суб’єктів декларування здійснюється Національним агентством на підставі інформації, отриманої від фізичних та юридичних осіб, а також із засобів масової інформації та інших відкритих джерел інформації, яка містить відомості про невідповідність рівня життя суб’єктів декларування задекларованим ними майну і доходам.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Порядок здійснення моніторингу способу життя суб’єктів декларування визначається Національним агентством.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Моніторинг способу життя здійснюється із додержанням законодавства про захист персональних даних та не повинен передбачати надмірного втручання у право на недоторканність особистого і сімейного життя особи.</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4. Встановлення невідповідності рівня життя суб’єкта декларування задекларованим ним майну і доходам є підставою для здійснення повної перевірки його декларації. У разі встановлення невідповідності рівня життя Національним агентством надається можливість суб’єкту декларування протягом десяти робочих днів надати письмове пояснення за таким фактом.</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У разі виявлення за результатами моніторингу способу життя ознак корупційного правопорушення або правопорушення, пов’язаного з корупцією, Національне агентство інформує про них спеціально уповноважені суб’єкти у сфері протидії корупції.</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Стаття 52. Додаткові заходи здійснення фінансового контролю</w:t>
      </w:r>
    </w:p>
    <w:p w:rsidR="005D3D86" w:rsidRPr="00D43923" w:rsidRDefault="005D3D86" w:rsidP="005D3D86">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1. У разі відкриття суб’єктом декларування або членом його сім’ї валютного рахунка в установі банку-нерезидента відповідний суб’єкт декларування зобов’язаний у десятиденний строк письмово повідомити про це Національне агентство у встановленому ним порядку, із зазначенням номера рахунка і місцезнаходження банку-нерезидента.</w:t>
      </w:r>
    </w:p>
    <w:p w:rsidR="005D3D86" w:rsidRPr="00D43923" w:rsidRDefault="005D3D86" w:rsidP="001F2D75">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2. У разі суттєвої зміни у майновому стані суб’єкта декларування, а саме отримання ним доходу, придбання майна на суму, яка перевищує 50 мінімальних заробітних плат, встановлених на 1 січня відповідного року, зазначений суб’єкт у десятиденний строк з моменту отримання доходу або придбання майна зобов’язаний письмово повідомити про це Національне агентство. Зазначена інформація вноситься до Єдиного державного реєстру декларацій осіб, уповноважених на виконання функцій держави або місцевого самоврядування, та оприлюднюється на офіційному веб-сайті Національного агентства.</w:t>
      </w:r>
    </w:p>
    <w:p w:rsidR="005D3D86" w:rsidRPr="00D43923" w:rsidRDefault="005D3D86" w:rsidP="001F2D75">
      <w:pPr>
        <w:pStyle w:val="a4"/>
        <w:shd w:val="clear" w:color="auto" w:fill="FFFFFF"/>
        <w:spacing w:before="0" w:beforeAutospacing="0" w:after="0" w:afterAutospacing="0"/>
        <w:textAlignment w:val="baseline"/>
        <w:rPr>
          <w:rFonts w:ascii="Arial" w:hAnsi="Arial" w:cs="Arial"/>
          <w:sz w:val="20"/>
          <w:szCs w:val="20"/>
        </w:rPr>
      </w:pPr>
      <w:r w:rsidRPr="00D43923">
        <w:rPr>
          <w:sz w:val="21"/>
          <w:szCs w:val="21"/>
          <w:bdr w:val="none" w:sz="0" w:space="0" w:color="auto" w:frame="1"/>
        </w:rPr>
        <w:t> 3. Порядок інформування Національного агентства про відкриття валютного рахунка в установі банку-нерезидента, а також про суттєві зміни у майновому стані визначаються Національним агентством.</w:t>
      </w:r>
    </w:p>
    <w:p w:rsidR="002021BD" w:rsidRPr="00D43923" w:rsidRDefault="002021BD" w:rsidP="001F2D75">
      <w:pPr>
        <w:spacing w:line="240" w:lineRule="auto"/>
      </w:pPr>
      <w:bookmarkStart w:id="0" w:name="_GoBack"/>
      <w:bookmarkEnd w:id="0"/>
    </w:p>
    <w:p w:rsidR="00B93A86" w:rsidRDefault="00B93A86" w:rsidP="00B93A86">
      <w:pPr>
        <w:jc w:val="center"/>
        <w:rPr>
          <w:rFonts w:ascii="Times New Roman" w:hAnsi="Times New Roman" w:cs="Times New Roman"/>
          <w:sz w:val="24"/>
          <w:szCs w:val="24"/>
          <w:lang w:val="uk-UA"/>
        </w:rPr>
      </w:pPr>
      <w:r>
        <w:rPr>
          <w:rFonts w:ascii="Times New Roman" w:hAnsi="Times New Roman" w:cs="Times New Roman"/>
          <w:sz w:val="24"/>
          <w:szCs w:val="24"/>
        </w:rPr>
        <w:t xml:space="preserve">Т Е С Т О В </w:t>
      </w:r>
      <w:r>
        <w:rPr>
          <w:rFonts w:ascii="Times New Roman" w:hAnsi="Times New Roman" w:cs="Times New Roman"/>
          <w:sz w:val="24"/>
          <w:szCs w:val="24"/>
          <w:lang w:val="uk-UA"/>
        </w:rPr>
        <w:t>І  З АВ Д А Н Н Я</w:t>
      </w:r>
    </w:p>
    <w:p w:rsidR="00B93A86" w:rsidRPr="00AF2066" w:rsidRDefault="00B93A86" w:rsidP="00B93A86">
      <w:pPr>
        <w:jc w:val="center"/>
        <w:rPr>
          <w:rFonts w:ascii="Times New Roman" w:hAnsi="Times New Roman" w:cs="Times New Roman"/>
          <w:sz w:val="24"/>
          <w:szCs w:val="24"/>
          <w:lang w:val="uk-UA"/>
        </w:rPr>
      </w:pPr>
      <w:r w:rsidRPr="00C8316C">
        <w:rPr>
          <w:rFonts w:ascii="Times New Roman" w:hAnsi="Times New Roman" w:cs="Times New Roman"/>
          <w:sz w:val="28"/>
          <w:szCs w:val="28"/>
          <w:lang w:val="uk-UA"/>
        </w:rPr>
        <w:t>д</w:t>
      </w:r>
      <w:r w:rsidRPr="00C8316C">
        <w:rPr>
          <w:rFonts w:ascii="Times New Roman" w:hAnsi="Times New Roman" w:cs="Times New Roman"/>
          <w:sz w:val="28"/>
          <w:szCs w:val="28"/>
        </w:rPr>
        <w:t>ля перевірки засвоення отриманих знань з теми</w:t>
      </w:r>
      <w:r w:rsidRPr="00C8316C">
        <w:rPr>
          <w:rFonts w:ascii="Times New Roman" w:hAnsi="Times New Roman" w:cs="Times New Roman"/>
          <w:sz w:val="28"/>
          <w:szCs w:val="28"/>
          <w:lang w:val="uk-UA"/>
        </w:rPr>
        <w:t>:</w:t>
      </w:r>
    </w:p>
    <w:p w:rsidR="00476D2E" w:rsidRDefault="00B93A86" w:rsidP="00B93A86">
      <w:pPr>
        <w:jc w:val="center"/>
        <w:rPr>
          <w:rFonts w:ascii="Times New Roman" w:hAnsi="Times New Roman" w:cs="Times New Roman"/>
          <w:b/>
          <w:sz w:val="32"/>
          <w:szCs w:val="32"/>
          <w:lang w:val="uk-UA"/>
        </w:rPr>
      </w:pPr>
      <w:r>
        <w:rPr>
          <w:rFonts w:ascii="Times New Roman" w:hAnsi="Times New Roman" w:cs="Times New Roman"/>
          <w:b/>
          <w:sz w:val="32"/>
          <w:szCs w:val="32"/>
          <w:lang w:val="uk-UA"/>
        </w:rPr>
        <w:t>Декларування та інші вимоги фінансового контролю.</w:t>
      </w:r>
    </w:p>
    <w:p w:rsidR="00B93A86" w:rsidRDefault="00B93A86" w:rsidP="001F2D75">
      <w:pPr>
        <w:spacing w:line="240" w:lineRule="auto"/>
        <w:rPr>
          <w:rFonts w:ascii="Times New Roman" w:hAnsi="Times New Roman" w:cs="Times New Roman"/>
          <w:sz w:val="24"/>
          <w:szCs w:val="24"/>
          <w:lang w:val="uk-UA"/>
        </w:rPr>
      </w:pPr>
      <w:r w:rsidRPr="00B93A86">
        <w:rPr>
          <w:rFonts w:ascii="Times New Roman" w:hAnsi="Times New Roman" w:cs="Times New Roman"/>
          <w:sz w:val="24"/>
          <w:szCs w:val="24"/>
          <w:lang w:val="uk-UA"/>
        </w:rPr>
        <w:t>1. Який спосіб подання декларації особи</w:t>
      </w:r>
      <w:r>
        <w:rPr>
          <w:rFonts w:ascii="Times New Roman" w:hAnsi="Times New Roman" w:cs="Times New Roman"/>
          <w:sz w:val="24"/>
          <w:szCs w:val="24"/>
          <w:lang w:val="uk-UA"/>
        </w:rPr>
        <w:t>, уповноваженої на виконання функції держави або місцевого самоврядування</w:t>
      </w:r>
      <w:r w:rsidR="00AA3ABB">
        <w:rPr>
          <w:rFonts w:ascii="Times New Roman" w:hAnsi="Times New Roman" w:cs="Times New Roman"/>
          <w:sz w:val="24"/>
          <w:szCs w:val="24"/>
          <w:lang w:val="uk-UA"/>
        </w:rPr>
        <w:t>, передбачає Закон України «Про запобігання корупції»?</w:t>
      </w:r>
    </w:p>
    <w:p w:rsidR="00AA3ABB" w:rsidRDefault="00AA3AB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а) надання паперової форми декларації до Національного агентства з питань запобігання корупції;</w:t>
      </w:r>
    </w:p>
    <w:p w:rsidR="00AA3ABB" w:rsidRDefault="00AA3AB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 шляхом  заповнення на офіційному веб-.сайті органу, в якому працює суб’єкт декларування;</w:t>
      </w:r>
    </w:p>
    <w:p w:rsidR="00AA3ABB" w:rsidRDefault="00AA3AB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 надання паперової форми декларації до служби управління персоналом;</w:t>
      </w:r>
    </w:p>
    <w:p w:rsidR="00AA3ABB" w:rsidRDefault="00AA3AB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г) шляхом заповнення на офіційному веб- сайті Національного агентства з питань запобігання корупції</w:t>
      </w:r>
      <w:r w:rsidR="00784F76">
        <w:rPr>
          <w:rFonts w:ascii="Times New Roman" w:hAnsi="Times New Roman" w:cs="Times New Roman"/>
          <w:sz w:val="24"/>
          <w:szCs w:val="24"/>
          <w:lang w:val="uk-UA"/>
        </w:rPr>
        <w:t>.</w:t>
      </w:r>
    </w:p>
    <w:p w:rsidR="00784F76" w:rsidRDefault="00784F76"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2. Яких заходів повинен вжити керівник відповідного органу у разі підтвердження викладеної у повідомленні інформації про можливі факти корупційних правопорушень та інших порушень Закону України «Про запобігання корупції»?</w:t>
      </w:r>
    </w:p>
    <w:p w:rsidR="00784F76" w:rsidRDefault="00784F76"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а) вживає заходів щодо припинення виявленого порушення, усунення його наслідків та притягнення винних осіб до дисциплінарної відповідальності, а у випадках виявлення ознак кримінального або адміністративного порушення також інформує спеціально уповноваженого суб’єкта  у сфері  проти дії корупції;</w:t>
      </w:r>
    </w:p>
    <w:p w:rsidR="00784F76" w:rsidRDefault="00784F76"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 вживає заходів щодо припинення виявленого порушення</w:t>
      </w:r>
      <w:r w:rsidR="00114284">
        <w:rPr>
          <w:rFonts w:ascii="Times New Roman" w:hAnsi="Times New Roman" w:cs="Times New Roman"/>
          <w:sz w:val="24"/>
          <w:szCs w:val="24"/>
          <w:lang w:val="uk-UA"/>
        </w:rPr>
        <w:t>, відсторонивши винну</w:t>
      </w:r>
      <w:r w:rsidR="00D57815">
        <w:rPr>
          <w:rFonts w:ascii="Times New Roman" w:hAnsi="Times New Roman" w:cs="Times New Roman"/>
          <w:sz w:val="24"/>
          <w:szCs w:val="24"/>
          <w:lang w:val="uk-UA"/>
        </w:rPr>
        <w:t xml:space="preserve"> особу</w:t>
      </w:r>
    </w:p>
    <w:p w:rsidR="00D57815" w:rsidRDefault="00D57815"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 виконання службових обов’язків ;</w:t>
      </w:r>
    </w:p>
    <w:p w:rsidR="00D57815" w:rsidRDefault="00D57815"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w:t>
      </w:r>
      <w:r w:rsidRPr="00D57815">
        <w:rPr>
          <w:rFonts w:ascii="Times New Roman" w:hAnsi="Times New Roman" w:cs="Times New Roman"/>
          <w:sz w:val="24"/>
          <w:szCs w:val="24"/>
          <w:lang w:val="uk-UA"/>
        </w:rPr>
        <w:t xml:space="preserve"> </w:t>
      </w:r>
      <w:r>
        <w:rPr>
          <w:rFonts w:ascii="Times New Roman" w:hAnsi="Times New Roman" w:cs="Times New Roman"/>
          <w:sz w:val="24"/>
          <w:szCs w:val="24"/>
          <w:lang w:val="uk-UA"/>
        </w:rPr>
        <w:t>вживає заходів ,проводить розслідування щодо порушень вимог, законодавства та інформує правоохоронні органи;</w:t>
      </w:r>
    </w:p>
    <w:p w:rsidR="00D57815" w:rsidRDefault="00D57815"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г) вживає заходів щодо припинення виявленого порушення та залучає до розслідування правоохоронні органи.</w:t>
      </w:r>
    </w:p>
    <w:p w:rsidR="00D57815" w:rsidRDefault="00D57815"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3. Яка процедура виправлення помилок у поданій декларації особи, уповноваженої на виконання функцій держави або місцевого самоврядування, які суб’єкт декларування виявив самостійно?</w:t>
      </w:r>
    </w:p>
    <w:p w:rsidR="00D57815" w:rsidRDefault="00D57815"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а) суб’єкт декларування у продовж 7 днів після подання декларації має право подати виправлену декларацію, але не більше трьох разів; </w:t>
      </w:r>
    </w:p>
    <w:p w:rsidR="00D57815" w:rsidRDefault="00C16E7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 суб’єктом декларування забороняється виправляти помилки в поданих деклараціях;</w:t>
      </w:r>
    </w:p>
    <w:p w:rsidR="00C16E7B" w:rsidRDefault="00C16E7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 суб’єкт декларування у продовж 10 днів після подання декларації має право подати виправлену декларацію, але не більше двох разів;</w:t>
      </w:r>
    </w:p>
    <w:p w:rsidR="00C16E7B" w:rsidRDefault="00C16E7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г) суб’єкт декларування шляхом обміну електронними листами з Національним агентством з питань запобігання корупції погоджує внесення до декларації виправлень.</w:t>
      </w:r>
    </w:p>
    <w:p w:rsidR="00C16E7B" w:rsidRDefault="00C16E7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4. Що з переліченого забороняється одержувати безоплатно державним органом?</w:t>
      </w:r>
    </w:p>
    <w:p w:rsidR="00C16E7B" w:rsidRDefault="00C16E7B"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а)  грошові кошти або інше майно,</w:t>
      </w:r>
      <w:r w:rsidR="00231DB3">
        <w:rPr>
          <w:rFonts w:ascii="Times New Roman" w:hAnsi="Times New Roman" w:cs="Times New Roman"/>
          <w:sz w:val="24"/>
          <w:szCs w:val="24"/>
          <w:lang w:val="uk-UA"/>
        </w:rPr>
        <w:t xml:space="preserve"> не матеріальні активи, пільги чи послуги, крім випадків передбачених законом або  міжнародними договорами, згоду на обов’язковість яких надано Верховною Радою України;</w:t>
      </w:r>
    </w:p>
    <w:p w:rsidR="00231DB3" w:rsidRDefault="00231DB3"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б) гранти, подарунки і облігаційну допомогу;</w:t>
      </w:r>
    </w:p>
    <w:p w:rsidR="00231DB3" w:rsidRDefault="00231DB3"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в) кошти яки відповідно до міжнародних договорів надаються на безоплатній основі для здійснення програм, проектів;</w:t>
      </w:r>
    </w:p>
    <w:p w:rsidR="00231DB3" w:rsidRDefault="00231DB3" w:rsidP="001F2D75">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t>г) безплатну передачу грошових коштів та іншого майна на умовах благодійної допомоги в межах чинних міжнародних договорів.</w:t>
      </w:r>
    </w:p>
    <w:p w:rsidR="001F2D75" w:rsidRDefault="001F2D75" w:rsidP="001F2D75">
      <w:pPr>
        <w:spacing w:line="240" w:lineRule="auto"/>
        <w:rPr>
          <w:rFonts w:ascii="Times New Roman" w:hAnsi="Times New Roman" w:cs="Times New Roman"/>
          <w:sz w:val="24"/>
          <w:szCs w:val="24"/>
          <w:lang w:val="uk-UA"/>
        </w:rPr>
      </w:pPr>
    </w:p>
    <w:p w:rsidR="001F2D75" w:rsidRDefault="001F2D75" w:rsidP="001F2D75">
      <w:pPr>
        <w:autoSpaceDE w:val="0"/>
        <w:autoSpaceDN w:val="0"/>
        <w:adjustRightInd w:val="0"/>
        <w:spacing w:before="28" w:after="28" w:line="240" w:lineRule="auto"/>
        <w:jc w:val="both"/>
        <w:rPr>
          <w:rFonts w:ascii="Book Antiqua" w:hAnsi="Book Antiqua" w:cs="Book Antiqua"/>
          <w:color w:val="000000"/>
          <w:sz w:val="24"/>
          <w:szCs w:val="24"/>
          <w:highlight w:val="white"/>
        </w:rPr>
      </w:pPr>
      <w:proofErr w:type="gramStart"/>
      <w:r>
        <w:rPr>
          <w:rFonts w:ascii="Book Antiqua" w:hAnsi="Book Antiqua" w:cs="Book Antiqua"/>
          <w:color w:val="000000"/>
          <w:sz w:val="24"/>
          <w:szCs w:val="24"/>
          <w:highlight w:val="white"/>
        </w:rPr>
        <w:t>П</w:t>
      </w:r>
      <w:proofErr w:type="gramEnd"/>
      <w:r>
        <w:rPr>
          <w:rFonts w:ascii="Book Antiqua" w:hAnsi="Book Antiqua" w:cs="Book Antiqua"/>
          <w:color w:val="000000"/>
          <w:sz w:val="24"/>
          <w:szCs w:val="24"/>
          <w:highlight w:val="white"/>
        </w:rPr>
        <w:t xml:space="preserve">ідготувала: </w:t>
      </w:r>
    </w:p>
    <w:p w:rsidR="001F2D75" w:rsidRDefault="001F2D75" w:rsidP="001F2D75">
      <w:pPr>
        <w:autoSpaceDE w:val="0"/>
        <w:autoSpaceDN w:val="0"/>
        <w:adjustRightInd w:val="0"/>
        <w:spacing w:before="28" w:after="28"/>
        <w:jc w:val="both"/>
        <w:rPr>
          <w:rFonts w:ascii="Book Antiqua" w:hAnsi="Book Antiqua" w:cs="Book Antiqua"/>
          <w:color w:val="000000"/>
          <w:sz w:val="24"/>
          <w:szCs w:val="24"/>
          <w:highlight w:val="white"/>
        </w:rPr>
      </w:pPr>
      <w:r>
        <w:rPr>
          <w:rFonts w:ascii="Book Antiqua" w:hAnsi="Book Antiqua" w:cs="Book Antiqua"/>
          <w:color w:val="000000"/>
          <w:sz w:val="24"/>
          <w:szCs w:val="24"/>
          <w:highlight w:val="white"/>
        </w:rPr>
        <w:t xml:space="preserve">Уповноважена особа з питань запобігання </w:t>
      </w:r>
    </w:p>
    <w:p w:rsidR="001F2D75" w:rsidRDefault="001F2D75" w:rsidP="001F2D75">
      <w:pPr>
        <w:autoSpaceDE w:val="0"/>
        <w:autoSpaceDN w:val="0"/>
        <w:adjustRightInd w:val="0"/>
        <w:spacing w:before="28" w:after="28"/>
        <w:jc w:val="both"/>
        <w:rPr>
          <w:rFonts w:ascii="Book Antiqua" w:hAnsi="Book Antiqua" w:cs="Book Antiqua"/>
          <w:color w:val="000000"/>
          <w:sz w:val="24"/>
          <w:szCs w:val="24"/>
          <w:highlight w:val="white"/>
        </w:rPr>
      </w:pPr>
      <w:r>
        <w:rPr>
          <w:rFonts w:ascii="Book Antiqua" w:hAnsi="Book Antiqua" w:cs="Book Antiqua"/>
          <w:color w:val="000000"/>
          <w:sz w:val="24"/>
          <w:szCs w:val="24"/>
          <w:highlight w:val="white"/>
        </w:rPr>
        <w:t>та виявлення корупції</w:t>
      </w:r>
      <w:r>
        <w:rPr>
          <w:rFonts w:ascii="Book Antiqua" w:hAnsi="Book Antiqua" w:cs="Book Antiqua"/>
          <w:color w:val="000000"/>
          <w:sz w:val="24"/>
          <w:szCs w:val="24"/>
          <w:highlight w:val="white"/>
        </w:rPr>
        <w:tab/>
      </w:r>
      <w:r>
        <w:rPr>
          <w:rFonts w:ascii="Book Antiqua" w:hAnsi="Book Antiqua" w:cs="Book Antiqua"/>
          <w:color w:val="000000"/>
          <w:sz w:val="24"/>
          <w:szCs w:val="24"/>
          <w:highlight w:val="white"/>
        </w:rPr>
        <w:tab/>
      </w:r>
      <w:r>
        <w:rPr>
          <w:rFonts w:ascii="Book Antiqua" w:hAnsi="Book Antiqua" w:cs="Book Antiqua"/>
          <w:color w:val="000000"/>
          <w:sz w:val="24"/>
          <w:szCs w:val="24"/>
          <w:highlight w:val="white"/>
        </w:rPr>
        <w:tab/>
        <w:t xml:space="preserve">               Н.П.Дверницька</w:t>
      </w:r>
    </w:p>
    <w:p w:rsidR="001F2D75" w:rsidRDefault="001F2D75" w:rsidP="001F2D75">
      <w:pPr>
        <w:autoSpaceDE w:val="0"/>
        <w:autoSpaceDN w:val="0"/>
        <w:adjustRightInd w:val="0"/>
        <w:spacing w:before="28" w:after="28"/>
        <w:jc w:val="both"/>
        <w:rPr>
          <w:rFonts w:ascii="Calibri" w:hAnsi="Calibri" w:cs="Calibri"/>
          <w:sz w:val="24"/>
          <w:szCs w:val="24"/>
          <w:lang w:val="en-US"/>
        </w:rPr>
      </w:pPr>
    </w:p>
    <w:p w:rsidR="00C16E7B" w:rsidRPr="00B93A86" w:rsidRDefault="00C16E7B" w:rsidP="00B93A86">
      <w:pPr>
        <w:rPr>
          <w:rFonts w:ascii="Times New Roman" w:hAnsi="Times New Roman" w:cs="Times New Roman"/>
          <w:sz w:val="24"/>
          <w:szCs w:val="24"/>
          <w:lang w:val="uk-UA"/>
        </w:rPr>
      </w:pPr>
    </w:p>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Pr="00D43923" w:rsidRDefault="00476D2E"/>
    <w:p w:rsidR="00476D2E" w:rsidRDefault="00476D2E"/>
    <w:p w:rsidR="00476D2E" w:rsidRDefault="00476D2E"/>
    <w:p w:rsidR="00476D2E" w:rsidRDefault="00476D2E"/>
    <w:p w:rsidR="00476D2E" w:rsidRDefault="00476D2E"/>
    <w:p w:rsidR="00476D2E" w:rsidRDefault="00476D2E"/>
    <w:p w:rsidR="00476D2E" w:rsidRDefault="00476D2E"/>
    <w:p w:rsidR="00476D2E" w:rsidRDefault="00476D2E"/>
    <w:p w:rsidR="00476D2E" w:rsidRDefault="00476D2E"/>
    <w:p w:rsidR="00476D2E" w:rsidRDefault="00476D2E"/>
    <w:sectPr w:rsidR="00476D2E" w:rsidSect="00D4392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3B7C9D"/>
    <w:rsid w:val="000364F3"/>
    <w:rsid w:val="00114284"/>
    <w:rsid w:val="001F2D75"/>
    <w:rsid w:val="002021BD"/>
    <w:rsid w:val="00231DB3"/>
    <w:rsid w:val="002E3302"/>
    <w:rsid w:val="003B7C9D"/>
    <w:rsid w:val="004216B5"/>
    <w:rsid w:val="00476D2E"/>
    <w:rsid w:val="004C04F1"/>
    <w:rsid w:val="004E72B0"/>
    <w:rsid w:val="00520193"/>
    <w:rsid w:val="00594B8A"/>
    <w:rsid w:val="005D3D86"/>
    <w:rsid w:val="00674EFD"/>
    <w:rsid w:val="00784F76"/>
    <w:rsid w:val="008853B6"/>
    <w:rsid w:val="009C6B4F"/>
    <w:rsid w:val="00AA3ABB"/>
    <w:rsid w:val="00B93A86"/>
    <w:rsid w:val="00C16E7B"/>
    <w:rsid w:val="00D43923"/>
    <w:rsid w:val="00D5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D3D86"/>
    <w:rPr>
      <w:b/>
      <w:bCs/>
    </w:rPr>
  </w:style>
  <w:style w:type="paragraph" w:styleId="a4">
    <w:name w:val="Normal (Web)"/>
    <w:basedOn w:val="a"/>
    <w:uiPriority w:val="99"/>
    <w:semiHidden/>
    <w:unhideWhenUsed/>
    <w:rsid w:val="005D3D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5D3D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D3D86"/>
    <w:rPr>
      <w:b/>
      <w:bCs/>
    </w:rPr>
  </w:style>
  <w:style w:type="paragraph" w:styleId="a4">
    <w:name w:val="Normal (Web)"/>
    <w:basedOn w:val="a"/>
    <w:uiPriority w:val="99"/>
    <w:semiHidden/>
    <w:unhideWhenUsed/>
    <w:rsid w:val="005D3D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468722">
      <w:bodyDiv w:val="1"/>
      <w:marLeft w:val="0"/>
      <w:marRight w:val="0"/>
      <w:marTop w:val="0"/>
      <w:marBottom w:val="0"/>
      <w:divBdr>
        <w:top w:val="none" w:sz="0" w:space="0" w:color="auto"/>
        <w:left w:val="none" w:sz="0" w:space="0" w:color="auto"/>
        <w:bottom w:val="none" w:sz="0" w:space="0" w:color="auto"/>
        <w:right w:val="none" w:sz="0" w:space="0" w:color="auto"/>
      </w:divBdr>
    </w:div>
    <w:div w:id="1128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7</Pages>
  <Words>3735</Words>
  <Characters>21292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10</cp:revision>
  <dcterms:created xsi:type="dcterms:W3CDTF">2021-03-02T09:18:00Z</dcterms:created>
  <dcterms:modified xsi:type="dcterms:W3CDTF">2021-03-12T09:41:00Z</dcterms:modified>
</cp:coreProperties>
</file>